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2D" w:rsidRPr="007D4865" w:rsidRDefault="00F16716" w:rsidP="00E8122D">
      <w:pPr>
        <w:pStyle w:val="1"/>
        <w:spacing w:before="0" w:after="0"/>
        <w:rPr>
          <w:sz w:val="20"/>
          <w:szCs w:val="20"/>
        </w:rPr>
      </w:pPr>
      <w:r w:rsidRPr="007D4865">
        <w:rPr>
          <w:sz w:val="20"/>
          <w:szCs w:val="20"/>
        </w:rPr>
        <w:t xml:space="preserve">УВЕДОМЛЕНИЕ </w:t>
      </w:r>
    </w:p>
    <w:p w:rsidR="007D4865" w:rsidRDefault="00F16716" w:rsidP="00E8122D">
      <w:pPr>
        <w:pStyle w:val="1"/>
        <w:spacing w:before="0" w:after="0"/>
        <w:rPr>
          <w:sz w:val="20"/>
          <w:szCs w:val="20"/>
        </w:rPr>
      </w:pPr>
      <w:r w:rsidRPr="007D4865">
        <w:rPr>
          <w:sz w:val="20"/>
          <w:szCs w:val="20"/>
        </w:rPr>
        <w:t>о правах Клиента</w:t>
      </w:r>
    </w:p>
    <w:p w:rsidR="00F16716" w:rsidRDefault="00F16716" w:rsidP="00E8122D">
      <w:pPr>
        <w:pStyle w:val="1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16716" w:rsidRPr="000F6B58" w:rsidRDefault="00F16716">
      <w:pPr>
        <w:ind w:firstLine="1134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 xml:space="preserve">В соответствии со ст.6 </w:t>
      </w:r>
      <w:r w:rsidR="0018502D" w:rsidRPr="000F6B58">
        <w:rPr>
          <w:rFonts w:ascii="Times New Roman" w:hAnsi="Times New Roman" w:cs="Times New Roman"/>
          <w:sz w:val="20"/>
          <w:szCs w:val="20"/>
        </w:rPr>
        <w:t>Федерального закона</w:t>
      </w:r>
      <w:r w:rsidRPr="000F6B58">
        <w:rPr>
          <w:rFonts w:ascii="Times New Roman" w:hAnsi="Times New Roman" w:cs="Times New Roman"/>
          <w:sz w:val="20"/>
          <w:szCs w:val="20"/>
        </w:rPr>
        <w:t xml:space="preserve"> </w:t>
      </w:r>
      <w:r w:rsidR="0018502D" w:rsidRPr="000F6B58">
        <w:rPr>
          <w:rFonts w:ascii="Times New Roman" w:hAnsi="Times New Roman" w:cs="Times New Roman"/>
          <w:sz w:val="20"/>
          <w:szCs w:val="20"/>
        </w:rPr>
        <w:t xml:space="preserve">от 05 марта </w:t>
      </w:r>
      <w:smartTag w:uri="urn:schemas-microsoft-com:office:smarttags" w:element="metricconverter">
        <w:smartTagPr>
          <w:attr w:name="ProductID" w:val="1999 г"/>
        </w:smartTagPr>
        <w:r w:rsidR="0018502D" w:rsidRPr="000F6B58">
          <w:rPr>
            <w:rFonts w:ascii="Times New Roman" w:hAnsi="Times New Roman" w:cs="Times New Roman"/>
            <w:sz w:val="20"/>
            <w:szCs w:val="20"/>
          </w:rPr>
          <w:t>1999 г</w:t>
        </w:r>
      </w:smartTag>
      <w:r w:rsidR="0018502D" w:rsidRPr="000F6B58">
        <w:rPr>
          <w:rFonts w:ascii="Times New Roman" w:hAnsi="Times New Roman" w:cs="Times New Roman"/>
          <w:sz w:val="20"/>
          <w:szCs w:val="20"/>
        </w:rPr>
        <w:t xml:space="preserve">. № 46-ФЗ </w:t>
      </w:r>
      <w:r w:rsidRPr="000F6B58">
        <w:rPr>
          <w:rFonts w:ascii="Times New Roman" w:hAnsi="Times New Roman" w:cs="Times New Roman"/>
          <w:sz w:val="20"/>
          <w:szCs w:val="20"/>
        </w:rPr>
        <w:t>«О защите прав и законных интересов ин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весторов на рынке ценных бумаг», </w:t>
      </w:r>
      <w:r w:rsidR="0017146F">
        <w:rPr>
          <w:rFonts w:ascii="Times New Roman" w:hAnsi="Times New Roman" w:cs="Times New Roman"/>
          <w:sz w:val="20"/>
          <w:szCs w:val="20"/>
        </w:rPr>
        <w:t xml:space="preserve">а также в соответствии с иными нормативными актами в сфере финансовых </w:t>
      </w:r>
      <w:proofErr w:type="gramStart"/>
      <w:r w:rsidR="0017146F">
        <w:rPr>
          <w:rFonts w:ascii="Times New Roman" w:hAnsi="Times New Roman" w:cs="Times New Roman"/>
          <w:sz w:val="20"/>
          <w:szCs w:val="20"/>
        </w:rPr>
        <w:t>рынков</w:t>
      </w:r>
      <w:r w:rsidR="000F6B58" w:rsidRPr="000F6B5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 </w:t>
      </w:r>
      <w:r w:rsidR="00FD12A4" w:rsidRPr="000F6B58">
        <w:rPr>
          <w:rFonts w:ascii="Times New Roman" w:hAnsi="Times New Roman" w:cs="Times New Roman"/>
          <w:sz w:val="20"/>
          <w:szCs w:val="20"/>
        </w:rPr>
        <w:t>МОРСКОЙ</w:t>
      </w:r>
      <w:proofErr w:type="gramEnd"/>
      <w:r w:rsidR="00FD12A4" w:rsidRPr="000F6B58">
        <w:rPr>
          <w:rFonts w:ascii="Times New Roman" w:hAnsi="Times New Roman" w:cs="Times New Roman"/>
          <w:sz w:val="20"/>
          <w:szCs w:val="20"/>
        </w:rPr>
        <w:t xml:space="preserve"> БАНК (</w:t>
      </w:r>
      <w:r w:rsidR="00D560E9">
        <w:rPr>
          <w:rFonts w:ascii="Times New Roman" w:hAnsi="Times New Roman" w:cs="Times New Roman"/>
          <w:sz w:val="20"/>
          <w:szCs w:val="20"/>
        </w:rPr>
        <w:t>АО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) уведомляет Клиентов, заключивших с Банком договор </w:t>
      </w:r>
      <w:r w:rsidR="005D5668">
        <w:rPr>
          <w:rFonts w:ascii="Times New Roman" w:hAnsi="Times New Roman" w:cs="Times New Roman"/>
          <w:sz w:val="20"/>
          <w:szCs w:val="20"/>
        </w:rPr>
        <w:t>комплексного обслуживания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 на рынке ценных бумаг и срочном рынке о следующих правах:</w:t>
      </w:r>
    </w:p>
    <w:p w:rsidR="00F16716" w:rsidRPr="000F6B58" w:rsidRDefault="00FD12A4" w:rsidP="005D5668">
      <w:pPr>
        <w:pStyle w:val="2"/>
        <w:ind w:left="0"/>
        <w:jc w:val="both"/>
        <w:rPr>
          <w:rFonts w:ascii="Times New Roman" w:hAnsi="Times New Roman" w:cs="Times New Roman"/>
          <w:b w:val="0"/>
          <w:bCs w:val="0"/>
        </w:rPr>
      </w:pPr>
      <w:r w:rsidRPr="000F6B58">
        <w:rPr>
          <w:rFonts w:ascii="Times New Roman" w:hAnsi="Times New Roman" w:cs="Times New Roman"/>
          <w:b w:val="0"/>
          <w:bCs w:val="0"/>
        </w:rPr>
        <w:t>1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. Клиент  имеет право потребовать у Брокера, а Брокер обязан </w:t>
      </w:r>
      <w:r w:rsidR="00B85CBB">
        <w:rPr>
          <w:rFonts w:ascii="Times New Roman" w:hAnsi="Times New Roman" w:cs="Times New Roman"/>
          <w:b w:val="0"/>
          <w:bCs w:val="0"/>
        </w:rPr>
        <w:t xml:space="preserve"> </w:t>
      </w:r>
      <w:r w:rsidR="00F16716" w:rsidRPr="000F6B58">
        <w:rPr>
          <w:rFonts w:ascii="Times New Roman" w:hAnsi="Times New Roman" w:cs="Times New Roman"/>
          <w:b w:val="0"/>
          <w:bCs w:val="0"/>
        </w:rPr>
        <w:t>предоставить следующие документы и информацию:</w:t>
      </w:r>
    </w:p>
    <w:p w:rsidR="00F16716" w:rsidRPr="000F6B58" w:rsidRDefault="00FD12A4" w:rsidP="005D5668">
      <w:pPr>
        <w:pStyle w:val="2"/>
        <w:ind w:left="0" w:firstLine="720"/>
        <w:jc w:val="both"/>
        <w:rPr>
          <w:rFonts w:ascii="Times New Roman" w:hAnsi="Times New Roman" w:cs="Times New Roman"/>
          <w:b w:val="0"/>
          <w:bCs w:val="0"/>
        </w:rPr>
      </w:pPr>
      <w:r w:rsidRPr="000F6B58">
        <w:rPr>
          <w:rFonts w:ascii="Times New Roman" w:hAnsi="Times New Roman" w:cs="Times New Roman"/>
          <w:b w:val="0"/>
          <w:bCs w:val="0"/>
        </w:rPr>
        <w:t>1.1.</w:t>
      </w:r>
      <w:r w:rsidR="00F16716" w:rsidRPr="000F6B58">
        <w:rPr>
          <w:rFonts w:ascii="Times New Roman" w:hAnsi="Times New Roman" w:cs="Times New Roman"/>
          <w:b w:val="0"/>
          <w:bCs w:val="0"/>
        </w:rPr>
        <w:t>копию лицензии на осуществление профессиональной деятельности на рынке ценных бумаг</w:t>
      </w:r>
      <w:r w:rsidRPr="000F6B58">
        <w:rPr>
          <w:rFonts w:ascii="Times New Roman" w:hAnsi="Times New Roman" w:cs="Times New Roman"/>
          <w:b w:val="0"/>
          <w:bCs w:val="0"/>
        </w:rPr>
        <w:t>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1.2.</w:t>
      </w:r>
      <w:r w:rsidR="00F16716" w:rsidRPr="000F6B58">
        <w:rPr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</w:t>
      </w:r>
      <w:r w:rsidRPr="000F6B58">
        <w:rPr>
          <w:rFonts w:ascii="Times New Roman" w:hAnsi="Times New Roman" w:cs="Times New Roman"/>
          <w:sz w:val="20"/>
          <w:szCs w:val="20"/>
        </w:rPr>
        <w:t xml:space="preserve"> в качестве юридического лица;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1.3.</w:t>
      </w:r>
      <w:r w:rsidR="00F16716" w:rsidRPr="000F6B58">
        <w:rPr>
          <w:rFonts w:ascii="Times New Roman" w:hAnsi="Times New Roman" w:cs="Times New Roman"/>
          <w:sz w:val="20"/>
          <w:szCs w:val="20"/>
        </w:rPr>
        <w:t>сведения об органе, выдавшем лицензию на осуществление профессиональной деятельности на рынке ценных бумаг (его наименование, адрес и телефоны);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1.4.</w:t>
      </w:r>
      <w:r w:rsidR="00F16716" w:rsidRPr="000F6B58">
        <w:rPr>
          <w:rFonts w:ascii="Times New Roman" w:hAnsi="Times New Roman" w:cs="Times New Roman"/>
          <w:sz w:val="20"/>
          <w:szCs w:val="20"/>
        </w:rPr>
        <w:t>сведения об уставном капитале, о размере собственных средств Брокера, его резервном фонде.</w:t>
      </w:r>
    </w:p>
    <w:p w:rsidR="00672EA3" w:rsidRPr="00C2377B" w:rsidRDefault="00FD12A4" w:rsidP="00672EA3">
      <w:pPr>
        <w:pStyle w:val="Iauiue"/>
        <w:jc w:val="both"/>
        <w:rPr>
          <w:sz w:val="18"/>
          <w:szCs w:val="18"/>
          <w:lang w:val="ru-RU"/>
        </w:rPr>
      </w:pPr>
      <w:r w:rsidRPr="00672EA3">
        <w:rPr>
          <w:lang w:val="ru-RU"/>
        </w:rPr>
        <w:t>2.</w:t>
      </w:r>
      <w:r w:rsidR="00E12F75">
        <w:rPr>
          <w:lang w:val="ru-RU"/>
        </w:rPr>
        <w:t xml:space="preserve"> </w:t>
      </w:r>
      <w:r w:rsidR="00672EA3" w:rsidRPr="00C2377B">
        <w:rPr>
          <w:sz w:val="18"/>
          <w:szCs w:val="18"/>
          <w:lang w:val="ru-RU"/>
        </w:rPr>
        <w:t>В соответствии со ст.6 Закона Брокер, при приобретении у него ценных бумаг Клиентом  либо при приобретении им ценных бумаг по поручению Клиента обязан, по требованию Клиента, предоставить следующую информацию: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2.1.</w:t>
      </w:r>
      <w:r w:rsidR="00F16716" w:rsidRPr="000F6B58">
        <w:rPr>
          <w:rFonts w:ascii="Times New Roman" w:hAnsi="Times New Roman" w:cs="Times New Roman"/>
          <w:sz w:val="20"/>
          <w:szCs w:val="20"/>
        </w:rPr>
        <w:t>сведения о государственной регистрации выпуска ценных бумаг и государственный регистрационный номер этого выпуска</w:t>
      </w:r>
      <w:r w:rsidR="0018502D" w:rsidRPr="000F6B58">
        <w:rPr>
          <w:rFonts w:ascii="Times New Roman" w:hAnsi="Times New Roman" w:cs="Times New Roman"/>
          <w:sz w:val="20"/>
          <w:szCs w:val="20"/>
        </w:rPr>
        <w:t>, а в случае совершения сделки с ценными бумагами, выпуск которых не подлежит государственной регистрации в соответствии с требованиями федеральных законов, - идентификационный номер выпуска таких бумаг</w:t>
      </w:r>
      <w:r w:rsidR="00F16716" w:rsidRPr="000F6B58">
        <w:rPr>
          <w:rFonts w:ascii="Times New Roman" w:hAnsi="Times New Roman" w:cs="Times New Roman"/>
          <w:sz w:val="20"/>
          <w:szCs w:val="20"/>
        </w:rPr>
        <w:t>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2.2.</w:t>
      </w:r>
      <w:r w:rsidR="00F16716" w:rsidRPr="000F6B58">
        <w:rPr>
          <w:rFonts w:ascii="Times New Roman" w:hAnsi="Times New Roman" w:cs="Times New Roman"/>
          <w:sz w:val="20"/>
          <w:szCs w:val="20"/>
        </w:rPr>
        <w:t>сведения, содержащиеся в решении о выпуске ценных бумаг и проспекте их эмиссии;</w:t>
      </w:r>
    </w:p>
    <w:p w:rsidR="00F16716" w:rsidRPr="000F6B58" w:rsidRDefault="00FD12A4" w:rsidP="005D5668">
      <w:pPr>
        <w:pStyle w:val="a8"/>
        <w:spacing w:before="0" w:line="240" w:lineRule="auto"/>
        <w:ind w:firstLine="720"/>
        <w:rPr>
          <w:rFonts w:ascii="Times New Roman" w:hAnsi="Times New Roman" w:cs="Times New Roman"/>
        </w:rPr>
      </w:pPr>
      <w:r w:rsidRPr="000F6B58">
        <w:rPr>
          <w:rFonts w:ascii="Times New Roman" w:hAnsi="Times New Roman" w:cs="Times New Roman"/>
        </w:rPr>
        <w:t>2.3.</w:t>
      </w:r>
      <w:r w:rsidR="00F16716" w:rsidRPr="000F6B58">
        <w:rPr>
          <w:rFonts w:ascii="Times New Roman" w:hAnsi="Times New Roman" w:cs="Times New Roman"/>
        </w:rPr>
        <w:t>сведения о ценах и котировках этих ценных бумаг на организованных рынках ценных бумаг в течение шести недель, предшествовавших дате предъявления инвестором требования о предоставлении информации, если эти ценные бумаги включены в листинг организаторов торговли, либо сведения об отсутствии этих ценных бумаг в листинге организаторов торговли;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2.4.</w:t>
      </w:r>
      <w:r w:rsidR="00F16716" w:rsidRPr="000F6B58">
        <w:rPr>
          <w:rFonts w:ascii="Times New Roman" w:hAnsi="Times New Roman" w:cs="Times New Roman"/>
          <w:sz w:val="20"/>
          <w:szCs w:val="20"/>
        </w:rPr>
        <w:t>сведения о ценах, по которым эти ценные бумаги покупались и продавались Брокером в течение шести недель, предшествовавших дате предъявления инвестором требования о предоставлении информации, либо сведения о том, что такие операции не проводились;</w:t>
      </w:r>
    </w:p>
    <w:p w:rsidR="00F16716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2.5.</w:t>
      </w:r>
      <w:r w:rsidR="00F16716" w:rsidRPr="000F6B58">
        <w:rPr>
          <w:rFonts w:ascii="Times New Roman" w:hAnsi="Times New Roman" w:cs="Times New Roman"/>
          <w:sz w:val="20"/>
          <w:szCs w:val="20"/>
        </w:rPr>
        <w:t>сведения об оценке этих ценных бумаг рейтинговым агентством, признанным в порядке, установленном законодательством Российской Федерации.</w:t>
      </w:r>
    </w:p>
    <w:p w:rsidR="00607581" w:rsidRPr="00E12F75" w:rsidRDefault="00607581" w:rsidP="005D5668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E12F75">
        <w:rPr>
          <w:rFonts w:ascii="Times New Roman" w:hAnsi="Times New Roman" w:cs="Times New Roman"/>
          <w:sz w:val="20"/>
          <w:szCs w:val="20"/>
        </w:rPr>
        <w:t xml:space="preserve">3. </w:t>
      </w:r>
      <w:r w:rsidR="00E12F75" w:rsidRPr="00E12F75">
        <w:rPr>
          <w:rFonts w:ascii="Times New Roman" w:hAnsi="Times New Roman" w:cs="Times New Roman"/>
          <w:sz w:val="20"/>
          <w:szCs w:val="20"/>
        </w:rPr>
        <w:t>Брокер,  при отчуждении ценных бумаг Клиентом, обязан по требованию Клиента  помимо информации, состав которой определен федеральными законами и иными нормативными правовыми актами Российской Федерации, предоставить информацию о:</w:t>
      </w:r>
    </w:p>
    <w:p w:rsidR="00607581" w:rsidRPr="00E12F75" w:rsidRDefault="00607581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E12F75">
        <w:rPr>
          <w:rFonts w:ascii="Times New Roman" w:hAnsi="Times New Roman" w:cs="Times New Roman"/>
          <w:sz w:val="20"/>
          <w:szCs w:val="20"/>
        </w:rPr>
        <w:t>3.1. ценах и котировках этих ценных бумаг на организованных рынках ценных бумаг в течение шести недель, предшествовавших дате предъявления инвестором требования о предоставлении информации, если эти ценные бумаги включены в листинг организаторов торговли, либо сведения об отсутствии этих ценных бумаг в листинге организаторов торговли;</w:t>
      </w:r>
    </w:p>
    <w:p w:rsidR="00607581" w:rsidRDefault="00607581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E12F75">
        <w:rPr>
          <w:rFonts w:ascii="Times New Roman" w:hAnsi="Times New Roman" w:cs="Times New Roman"/>
          <w:sz w:val="20"/>
          <w:szCs w:val="20"/>
        </w:rPr>
        <w:t>3.2. ценах, по которым эти ценные бумаги покупались и продавались Брокером в течение шести недель, предшествовавших дате предъявления инвестором требования о предоставлении информации, либо сведения о том,</w:t>
      </w:r>
      <w:r>
        <w:rPr>
          <w:rFonts w:ascii="Times New Roman" w:hAnsi="Times New Roman" w:cs="Times New Roman"/>
          <w:sz w:val="20"/>
          <w:szCs w:val="20"/>
        </w:rPr>
        <w:t xml:space="preserve"> что такие операции не проводились.</w:t>
      </w:r>
    </w:p>
    <w:p w:rsidR="00E12F75" w:rsidRPr="00825D23" w:rsidRDefault="00E12F75" w:rsidP="00825D23">
      <w:pPr>
        <w:pStyle w:val="Iauiue"/>
        <w:ind w:firstLine="720"/>
        <w:jc w:val="both"/>
        <w:rPr>
          <w:lang w:val="ru-RU"/>
        </w:rPr>
      </w:pPr>
      <w:r w:rsidRPr="00825D23">
        <w:rPr>
          <w:lang w:val="ru-RU"/>
        </w:rPr>
        <w:t xml:space="preserve">4. Информация, по запросу Клиента предоставляется Брокером в течение 14 (Четырнадцати) </w:t>
      </w:r>
      <w:r w:rsidR="006F7CA5" w:rsidRPr="00825D23">
        <w:rPr>
          <w:lang w:val="ru-RU"/>
        </w:rPr>
        <w:t xml:space="preserve">рабочих </w:t>
      </w:r>
      <w:r w:rsidRPr="00825D23">
        <w:rPr>
          <w:lang w:val="ru-RU"/>
        </w:rPr>
        <w:t>дней.</w:t>
      </w:r>
      <w:r w:rsidRPr="00825D23">
        <w:rPr>
          <w:lang w:val="ru-RU"/>
        </w:rPr>
        <w:tab/>
      </w:r>
    </w:p>
    <w:p w:rsidR="00672EA3" w:rsidRPr="00825D23" w:rsidRDefault="00E12F75" w:rsidP="00825D23">
      <w:pPr>
        <w:pStyle w:val="Iauiue"/>
        <w:ind w:firstLine="720"/>
        <w:jc w:val="both"/>
        <w:rPr>
          <w:lang w:val="ru-RU"/>
        </w:rPr>
      </w:pPr>
      <w:r w:rsidRPr="00825D23">
        <w:rPr>
          <w:lang w:val="ru-RU"/>
        </w:rPr>
        <w:t>5</w:t>
      </w:r>
      <w:r w:rsidR="00607581" w:rsidRPr="00825D23">
        <w:rPr>
          <w:lang w:val="ru-RU"/>
        </w:rPr>
        <w:t xml:space="preserve">. </w:t>
      </w:r>
      <w:r w:rsidR="00672EA3" w:rsidRPr="00825D23">
        <w:rPr>
          <w:lang w:val="ru-RU"/>
        </w:rPr>
        <w:t>Информация, указанная в пунктах 2 и 3 настоящего уведомления, предоставляется в письменной форме за плату в размере, не превышающем затрат на ее копирование.</w:t>
      </w:r>
      <w:r w:rsidR="00672EA3" w:rsidRPr="00825D23">
        <w:rPr>
          <w:lang w:val="ru-RU"/>
        </w:rPr>
        <w:tab/>
      </w:r>
    </w:p>
    <w:p w:rsidR="00FD12A4" w:rsidRPr="000F6B58" w:rsidRDefault="00E12F75" w:rsidP="00825D23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.Клиент имеет право 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запросить и </w:t>
      </w:r>
      <w:r w:rsidR="00FD12A4" w:rsidRPr="000F6B58">
        <w:rPr>
          <w:rFonts w:ascii="Times New Roman" w:hAnsi="Times New Roman" w:cs="Times New Roman"/>
          <w:sz w:val="20"/>
          <w:szCs w:val="20"/>
        </w:rPr>
        <w:t>получать отчет</w:t>
      </w:r>
      <w:r w:rsidR="000F6B58" w:rsidRPr="000F6B58">
        <w:rPr>
          <w:rFonts w:ascii="Times New Roman" w:hAnsi="Times New Roman" w:cs="Times New Roman"/>
          <w:sz w:val="20"/>
          <w:szCs w:val="20"/>
        </w:rPr>
        <w:t>ы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 по сделкам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 и операциям с ценными бумагами, а также по </w:t>
      </w:r>
      <w:r w:rsidR="00FD12A4" w:rsidRPr="000F6B58">
        <w:rPr>
          <w:rFonts w:ascii="Times New Roman" w:hAnsi="Times New Roman" w:cs="Times New Roman"/>
          <w:sz w:val="20"/>
          <w:szCs w:val="20"/>
        </w:rPr>
        <w:t>срочным сделкам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 и операциями с ними связанными,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 совершенным</w:t>
      </w:r>
      <w:r w:rsidR="000F6B58" w:rsidRPr="000F6B58">
        <w:rPr>
          <w:rFonts w:ascii="Times New Roman" w:hAnsi="Times New Roman" w:cs="Times New Roman"/>
          <w:sz w:val="20"/>
          <w:szCs w:val="20"/>
        </w:rPr>
        <w:t>и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 в течение дня</w:t>
      </w:r>
      <w:r w:rsidR="00446199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402104">
        <w:rPr>
          <w:rFonts w:ascii="Times New Roman" w:hAnsi="Times New Roman" w:cs="Times New Roman"/>
          <w:sz w:val="20"/>
          <w:szCs w:val="20"/>
        </w:rPr>
        <w:t>(</w:t>
      </w:r>
      <w:r w:rsidR="00333E64">
        <w:rPr>
          <w:rFonts w:ascii="Times New Roman" w:hAnsi="Times New Roman" w:cs="Times New Roman"/>
          <w:sz w:val="20"/>
          <w:szCs w:val="20"/>
        </w:rPr>
        <w:t>Приложени</w:t>
      </w:r>
      <w:r w:rsidR="00402104">
        <w:rPr>
          <w:rFonts w:ascii="Times New Roman" w:hAnsi="Times New Roman" w:cs="Times New Roman"/>
          <w:sz w:val="20"/>
          <w:szCs w:val="20"/>
        </w:rPr>
        <w:t>я</w:t>
      </w:r>
      <w:r w:rsidR="00333E64">
        <w:rPr>
          <w:rFonts w:ascii="Times New Roman" w:hAnsi="Times New Roman" w:cs="Times New Roman"/>
          <w:sz w:val="20"/>
          <w:szCs w:val="20"/>
        </w:rPr>
        <w:t xml:space="preserve"> № 4.</w:t>
      </w:r>
      <w:r w:rsidR="00402104">
        <w:rPr>
          <w:rFonts w:ascii="Times New Roman" w:hAnsi="Times New Roman" w:cs="Times New Roman"/>
          <w:sz w:val="20"/>
          <w:szCs w:val="20"/>
        </w:rPr>
        <w:t>1 и №</w:t>
      </w:r>
      <w:r w:rsidR="00446199">
        <w:rPr>
          <w:rFonts w:ascii="Times New Roman" w:hAnsi="Times New Roman" w:cs="Times New Roman"/>
          <w:sz w:val="20"/>
          <w:szCs w:val="20"/>
        </w:rPr>
        <w:t xml:space="preserve"> </w:t>
      </w:r>
      <w:r w:rsidR="00402104">
        <w:rPr>
          <w:rFonts w:ascii="Times New Roman" w:hAnsi="Times New Roman" w:cs="Times New Roman"/>
          <w:sz w:val="20"/>
          <w:szCs w:val="20"/>
        </w:rPr>
        <w:t xml:space="preserve">4.3 </w:t>
      </w:r>
      <w:r w:rsidR="00030786">
        <w:rPr>
          <w:rFonts w:ascii="Times New Roman" w:hAnsi="Times New Roman" w:cs="Times New Roman"/>
          <w:sz w:val="20"/>
          <w:szCs w:val="20"/>
        </w:rPr>
        <w:t xml:space="preserve">к Регламенту оказания услуг на рынке ценных бумаг и срочном рынке). 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Отчеты 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по и операциям с ценными бумагами, а также по срочным сделкам и операциями с ними связанными, совершенными в течение дня, 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предоставляются Банком 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Клиенту </w:t>
      </w:r>
      <w:r w:rsidR="00FD12A4" w:rsidRPr="000F6B58">
        <w:rPr>
          <w:rFonts w:ascii="Times New Roman" w:hAnsi="Times New Roman" w:cs="Times New Roman"/>
          <w:sz w:val="20"/>
          <w:szCs w:val="20"/>
        </w:rPr>
        <w:t>не позднее окончания рабочего дня следующего за отчетным.</w:t>
      </w:r>
    </w:p>
    <w:p w:rsidR="00E12F75" w:rsidRDefault="00E12F75" w:rsidP="00825D23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F16716" w:rsidRPr="00E12F75">
        <w:rPr>
          <w:rFonts w:ascii="Times New Roman" w:hAnsi="Times New Roman" w:cs="Times New Roman"/>
          <w:sz w:val="20"/>
          <w:szCs w:val="20"/>
        </w:rPr>
        <w:t xml:space="preserve">. </w:t>
      </w:r>
      <w:r w:rsidRPr="00E12F75">
        <w:rPr>
          <w:rFonts w:ascii="Times New Roman" w:hAnsi="Times New Roman" w:cs="Times New Roman"/>
          <w:sz w:val="20"/>
          <w:szCs w:val="20"/>
        </w:rPr>
        <w:t>Клиент  вправе в связи с приобретением или отчуждением ценных бумаг потребовать у Брокера или эмитента предоставить информацию в соответствии с Законом и другими федеральными законами и несет риск последствий не предъявления такого требования.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5"/>
        <w:gridCol w:w="4431"/>
      </w:tblGrid>
      <w:tr w:rsidR="001F0B7B" w:rsidRPr="003C3F0D" w:rsidTr="001F0B7B">
        <w:tc>
          <w:tcPr>
            <w:tcW w:w="6946" w:type="dxa"/>
            <w:gridSpan w:val="2"/>
            <w:shd w:val="pct10" w:color="auto" w:fill="auto"/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Клиент</w:t>
            </w:r>
          </w:p>
        </w:tc>
      </w:tr>
      <w:tr w:rsidR="001F0B7B" w:rsidRPr="003C3F0D" w:rsidTr="001F0B7B">
        <w:tc>
          <w:tcPr>
            <w:tcW w:w="6946" w:type="dxa"/>
            <w:gridSpan w:val="2"/>
            <w:tcBorders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:rsidTr="001F0B7B">
        <w:tc>
          <w:tcPr>
            <w:tcW w:w="6946" w:type="dxa"/>
            <w:gridSpan w:val="2"/>
            <w:tcBorders>
              <w:top w:val="nil"/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:rsidTr="001F0B7B">
        <w:tc>
          <w:tcPr>
            <w:tcW w:w="6946" w:type="dxa"/>
            <w:gridSpan w:val="2"/>
            <w:tcBorders>
              <w:top w:val="nil"/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:rsidTr="001F0B7B">
        <w:tc>
          <w:tcPr>
            <w:tcW w:w="2515" w:type="dxa"/>
            <w:tcBorders>
              <w:top w:val="nil"/>
              <w:bottom w:val="nil"/>
              <w:right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____________________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/___________________/</w:t>
            </w:r>
          </w:p>
        </w:tc>
      </w:tr>
      <w:tr w:rsidR="001F0B7B" w:rsidRPr="003C3F0D" w:rsidTr="001F0B7B">
        <w:tc>
          <w:tcPr>
            <w:tcW w:w="2515" w:type="dxa"/>
            <w:tcBorders>
              <w:top w:val="nil"/>
              <w:right w:val="nil"/>
            </w:tcBorders>
          </w:tcPr>
          <w:p w:rsidR="001F0B7B" w:rsidRPr="003C3F0D" w:rsidRDefault="001F0B7B" w:rsidP="00B75AE6">
            <w:pPr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</w:tbl>
    <w:p w:rsidR="00F16716" w:rsidRPr="000F6B58" w:rsidRDefault="00F16716" w:rsidP="001F0B7B">
      <w:pPr>
        <w:pStyle w:val="3"/>
        <w:spacing w:before="120"/>
        <w:ind w:right="0"/>
      </w:pPr>
    </w:p>
    <w:sectPr w:rsidR="00F16716" w:rsidRPr="000F6B58">
      <w:headerReference w:type="default" r:id="rId7"/>
      <w:pgSz w:w="11906" w:h="16838"/>
      <w:pgMar w:top="993" w:right="707" w:bottom="709" w:left="993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DD" w:rsidRDefault="006A76DD">
      <w:r>
        <w:separator/>
      </w:r>
    </w:p>
  </w:endnote>
  <w:endnote w:type="continuationSeparator" w:id="0">
    <w:p w:rsidR="006A76DD" w:rsidRDefault="006A76DD">
      <w:r>
        <w:continuationSeparator/>
      </w:r>
    </w:p>
  </w:endnote>
  <w:endnote w:type="continuationNotice" w:id="1">
    <w:p w:rsidR="006A76DD" w:rsidRDefault="006A76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DD" w:rsidRDefault="006A76DD">
      <w:r>
        <w:separator/>
      </w:r>
    </w:p>
  </w:footnote>
  <w:footnote w:type="continuationSeparator" w:id="0">
    <w:p w:rsidR="006A76DD" w:rsidRDefault="006A76DD">
      <w:r>
        <w:continuationSeparator/>
      </w:r>
    </w:p>
  </w:footnote>
  <w:footnote w:type="continuationNotice" w:id="1">
    <w:p w:rsidR="006A76DD" w:rsidRDefault="006A76DD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6C" w:rsidRDefault="006D196C" w:rsidP="006D196C">
    <w:pPr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="000E7FEB">
      <w:rPr>
        <w:rFonts w:ascii="Times New Roman" w:hAnsi="Times New Roman" w:cs="Times New Roman"/>
        <w:i/>
        <w:sz w:val="16"/>
        <w:szCs w:val="16"/>
      </w:rPr>
      <w:t xml:space="preserve"> </w:t>
    </w:r>
    <w:r w:rsidR="00825D23" w:rsidRPr="00446199">
      <w:rPr>
        <w:rFonts w:ascii="Times New Roman" w:hAnsi="Times New Roman"/>
        <w:i/>
        <w:sz w:val="16"/>
      </w:rPr>
      <w:t>6</w:t>
    </w:r>
    <w:r>
      <w:rPr>
        <w:rFonts w:ascii="Times New Roman" w:hAnsi="Times New Roman" w:cs="Times New Roman"/>
        <w:i/>
        <w:sz w:val="16"/>
        <w:szCs w:val="16"/>
      </w:rPr>
      <w:t>.</w:t>
    </w:r>
  </w:p>
  <w:p w:rsidR="006D196C" w:rsidRDefault="006D196C" w:rsidP="006D196C">
    <w:pPr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D560E9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1F0B7B" w:rsidRPr="006D196C" w:rsidRDefault="001F0B7B" w:rsidP="006D196C">
    <w:pPr>
      <w:pStyle w:val="aa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55CE"/>
    <w:multiLevelType w:val="singleLevel"/>
    <w:tmpl w:val="723A95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9C5151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abstractNum w:abstractNumId="2" w15:restartNumberingAfterBreak="0">
    <w:nsid w:val="100C4B55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E415EE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abstractNum w:abstractNumId="4" w15:restartNumberingAfterBreak="0">
    <w:nsid w:val="2B6209CE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49B5666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5E129E1"/>
    <w:multiLevelType w:val="multilevel"/>
    <w:tmpl w:val="3B48A1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DAD45BE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184489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1C0ADB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ADE42DB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B22651F"/>
    <w:multiLevelType w:val="singleLevel"/>
    <w:tmpl w:val="723A95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DCF058D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0CC3CD7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7211F0"/>
    <w:multiLevelType w:val="multilevel"/>
    <w:tmpl w:val="A128E9F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lowerLetter"/>
      <w:suff w:val="space"/>
      <w:lvlText w:val="%2."/>
      <w:lvlJc w:val="left"/>
      <w:pPr>
        <w:ind w:left="907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B827139"/>
    <w:multiLevelType w:val="singleLevel"/>
    <w:tmpl w:val="723A950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EEA3CE9"/>
    <w:multiLevelType w:val="multilevel"/>
    <w:tmpl w:val="3B48A1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15"/>
  </w:num>
  <w:num w:numId="9">
    <w:abstractNumId w:val="12"/>
  </w:num>
  <w:num w:numId="10">
    <w:abstractNumId w:val="5"/>
  </w:num>
  <w:num w:numId="11">
    <w:abstractNumId w:val="13"/>
  </w:num>
  <w:num w:numId="12">
    <w:abstractNumId w:val="9"/>
  </w:num>
  <w:num w:numId="13">
    <w:abstractNumId w:val="4"/>
  </w:num>
  <w:num w:numId="14">
    <w:abstractNumId w:val="8"/>
  </w:num>
  <w:num w:numId="15">
    <w:abstractNumId w:val="2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16"/>
    <w:rsid w:val="00030786"/>
    <w:rsid w:val="00071B3D"/>
    <w:rsid w:val="000C36E1"/>
    <w:rsid w:val="000E7FEB"/>
    <w:rsid w:val="000F6B58"/>
    <w:rsid w:val="0013616C"/>
    <w:rsid w:val="001601F4"/>
    <w:rsid w:val="0017146F"/>
    <w:rsid w:val="00177E28"/>
    <w:rsid w:val="0018502D"/>
    <w:rsid w:val="001F0B7B"/>
    <w:rsid w:val="00216F42"/>
    <w:rsid w:val="00333E64"/>
    <w:rsid w:val="00343ABF"/>
    <w:rsid w:val="00353AA4"/>
    <w:rsid w:val="00365688"/>
    <w:rsid w:val="00372DEA"/>
    <w:rsid w:val="003C19A4"/>
    <w:rsid w:val="003C3F0D"/>
    <w:rsid w:val="003C7E71"/>
    <w:rsid w:val="00402104"/>
    <w:rsid w:val="00431BF6"/>
    <w:rsid w:val="00444DED"/>
    <w:rsid w:val="00446199"/>
    <w:rsid w:val="004C136D"/>
    <w:rsid w:val="005104E7"/>
    <w:rsid w:val="005D5668"/>
    <w:rsid w:val="00607581"/>
    <w:rsid w:val="00672EA3"/>
    <w:rsid w:val="006A76DD"/>
    <w:rsid w:val="006D196C"/>
    <w:rsid w:val="006D4075"/>
    <w:rsid w:val="006D5003"/>
    <w:rsid w:val="006F7CA5"/>
    <w:rsid w:val="00753197"/>
    <w:rsid w:val="00767513"/>
    <w:rsid w:val="007D4865"/>
    <w:rsid w:val="007E0360"/>
    <w:rsid w:val="00825D23"/>
    <w:rsid w:val="008A77CE"/>
    <w:rsid w:val="008F2257"/>
    <w:rsid w:val="009D2B04"/>
    <w:rsid w:val="009E2602"/>
    <w:rsid w:val="009F022A"/>
    <w:rsid w:val="00A268A2"/>
    <w:rsid w:val="00A80EAB"/>
    <w:rsid w:val="00B112D3"/>
    <w:rsid w:val="00B665C6"/>
    <w:rsid w:val="00B75AE6"/>
    <w:rsid w:val="00B85CBB"/>
    <w:rsid w:val="00C04497"/>
    <w:rsid w:val="00C2377B"/>
    <w:rsid w:val="00C2620D"/>
    <w:rsid w:val="00C41114"/>
    <w:rsid w:val="00C6297D"/>
    <w:rsid w:val="00C73BF9"/>
    <w:rsid w:val="00C87CDB"/>
    <w:rsid w:val="00CD5997"/>
    <w:rsid w:val="00D560E9"/>
    <w:rsid w:val="00D668C2"/>
    <w:rsid w:val="00D84FF3"/>
    <w:rsid w:val="00DF7ADF"/>
    <w:rsid w:val="00E12F75"/>
    <w:rsid w:val="00E8122D"/>
    <w:rsid w:val="00E93F3A"/>
    <w:rsid w:val="00EB4C84"/>
    <w:rsid w:val="00F16716"/>
    <w:rsid w:val="00F27974"/>
    <w:rsid w:val="00F43E15"/>
    <w:rsid w:val="00F62DB0"/>
    <w:rsid w:val="00FD12A4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D8A685-FE59-4C55-9A34-E01DC06A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1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480" w:line="240" w:lineRule="atLeast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right" w:pos="9923"/>
      </w:tabs>
      <w:autoSpaceDE/>
      <w:autoSpaceDN/>
      <w:spacing w:before="24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Signature"/>
    <w:basedOn w:val="a"/>
    <w:link w:val="a7"/>
    <w:uiPriority w:val="99"/>
    <w:pPr>
      <w:spacing w:before="480"/>
    </w:pPr>
  </w:style>
  <w:style w:type="character" w:customStyle="1" w:styleId="a7">
    <w:name w:val="Подпись Знак"/>
    <w:link w:val="a6"/>
    <w:uiPriority w:val="99"/>
    <w:semiHidden/>
    <w:rPr>
      <w:rFonts w:ascii="Arial" w:hAnsi="Arial" w:cs="Arial"/>
    </w:rPr>
  </w:style>
  <w:style w:type="paragraph" w:styleId="a8">
    <w:name w:val="Body Text"/>
    <w:basedOn w:val="a"/>
    <w:link w:val="a9"/>
    <w:uiPriority w:val="99"/>
    <w:pPr>
      <w:spacing w:line="360" w:lineRule="auto"/>
    </w:pPr>
    <w:rPr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rPr>
      <w:rFonts w:ascii="Arial" w:hAnsi="Arial" w:cs="Ari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  <w:spacing w:before="0"/>
      <w:jc w:val="left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rPr>
      <w:rFonts w:ascii="Arial" w:hAnsi="Arial" w:cs="Arial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  <w:spacing w:before="0"/>
      <w:jc w:val="left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rPr>
      <w:rFonts w:ascii="Arial" w:hAnsi="Arial" w:cs="Arial"/>
    </w:rPr>
  </w:style>
  <w:style w:type="paragraph" w:styleId="3">
    <w:name w:val="Body Text 3"/>
    <w:basedOn w:val="a"/>
    <w:link w:val="30"/>
    <w:uiPriority w:val="99"/>
    <w:pPr>
      <w:spacing w:before="0"/>
      <w:ind w:right="1984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semiHidden/>
    <w:rPr>
      <w:rFonts w:ascii="Arial" w:hAnsi="Arial" w:cs="Arial"/>
      <w:sz w:val="16"/>
      <w:szCs w:val="16"/>
    </w:rPr>
  </w:style>
  <w:style w:type="paragraph" w:styleId="2">
    <w:name w:val="Body Text 2"/>
    <w:basedOn w:val="a"/>
    <w:link w:val="20"/>
    <w:uiPriority w:val="99"/>
    <w:pPr>
      <w:autoSpaceDE/>
      <w:autoSpaceDN/>
      <w:spacing w:before="0"/>
      <w:ind w:left="6379"/>
      <w:jc w:val="left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</w:rPr>
  </w:style>
  <w:style w:type="character" w:styleId="ae">
    <w:name w:val="page number"/>
    <w:uiPriority w:val="99"/>
    <w:rsid w:val="00F16716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C73B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Iauiue">
    <w:name w:val="Iau?iue"/>
    <w:uiPriority w:val="99"/>
    <w:rsid w:val="00672EA3"/>
    <w:rPr>
      <w:lang w:val="en-US"/>
    </w:rPr>
  </w:style>
  <w:style w:type="character" w:styleId="af1">
    <w:name w:val="annotation reference"/>
    <w:basedOn w:val="a0"/>
    <w:uiPriority w:val="99"/>
    <w:semiHidden/>
    <w:unhideWhenUsed/>
    <w:rsid w:val="00C6297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297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297D"/>
    <w:rPr>
      <w:rFonts w:ascii="Arial" w:hAnsi="Arial" w:cs="Arial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297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297D"/>
    <w:rPr>
      <w:rFonts w:ascii="Arial" w:hAnsi="Arial" w:cs="Arial"/>
      <w:b/>
      <w:bCs/>
    </w:rPr>
  </w:style>
  <w:style w:type="paragraph" w:styleId="af6">
    <w:name w:val="Revision"/>
    <w:hidden/>
    <w:uiPriority w:val="99"/>
    <w:semiHidden/>
    <w:rsid w:val="00C6297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06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Настоящее уведомление предоставляется Вам в связи с Вашим желанием осуществлять операции на российском фондовом рынке</vt:lpstr>
    </vt:vector>
  </TitlesOfParts>
  <Company>MFC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Настоящее уведомление предоставляется Вам в связи с Вашим желанием осуществлять операции на российском фондовом рынке</dc:title>
  <dc:creator>Наталья Николаевна Кляцкина</dc:creator>
  <cp:lastModifiedBy>Карташов Олег Юрьевич</cp:lastModifiedBy>
  <cp:revision>4</cp:revision>
  <cp:lastPrinted>2012-08-29T14:26:00Z</cp:lastPrinted>
  <dcterms:created xsi:type="dcterms:W3CDTF">2019-09-06T09:25:00Z</dcterms:created>
  <dcterms:modified xsi:type="dcterms:W3CDTF">2019-09-10T12:47:00Z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{BF29E30D-2304-453A-ABA5-5ED9ADDAA77F}</vt:lpwstr>
  </property>
</Properties>
</file>